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C7" w:rsidRDefault="005F3FC7" w:rsidP="005F3FC7">
      <w:pPr>
        <w:jc w:val="center"/>
        <w:rPr>
          <w:sz w:val="40"/>
        </w:rPr>
      </w:pPr>
      <w:r>
        <w:rPr>
          <w:noProof/>
          <w:lang w:eastAsia="en-GB"/>
        </w:rPr>
        <mc:AlternateContent>
          <mc:Choice Requires="wps">
            <w:drawing>
              <wp:anchor distT="0" distB="0" distL="114300" distR="114300" simplePos="0" relativeHeight="251659264" behindDoc="1" locked="0" layoutInCell="1" allowOverlap="1" wp14:anchorId="6AA6B81C" wp14:editId="18F1FD57">
                <wp:simplePos x="0" y="0"/>
                <wp:positionH relativeFrom="column">
                  <wp:posOffset>-914400</wp:posOffset>
                </wp:positionH>
                <wp:positionV relativeFrom="paragraph">
                  <wp:posOffset>100965</wp:posOffset>
                </wp:positionV>
                <wp:extent cx="7572375" cy="2190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72375" cy="2190750"/>
                        </a:xfrm>
                        <a:prstGeom prst="rect">
                          <a:avLst/>
                        </a:prstGeom>
                        <a:noFill/>
                        <a:ln>
                          <a:noFill/>
                        </a:ln>
                        <a:effectLst/>
                      </wps:spPr>
                      <wps:txbx>
                        <w:txbxContent>
                          <w:p w:rsidR="005F3FC7" w:rsidRPr="005F3FC7" w:rsidRDefault="005F3FC7" w:rsidP="005F3FC7">
                            <w:pPr>
                              <w:jc w:val="center"/>
                              <w:rPr>
                                <w:b/>
                                <w:color w:val="1F497D" w:themeColor="text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F3FC7">
                              <w:rPr>
                                <w:b/>
                                <w:color w:val="1F497D" w:themeColor="text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Banchory &amp; District</w:t>
                            </w:r>
                          </w:p>
                          <w:p w:rsidR="005F3FC7" w:rsidRPr="005F3FC7" w:rsidRDefault="005F3FC7" w:rsidP="005F3FC7">
                            <w:pPr>
                              <w:jc w:val="center"/>
                              <w:rPr>
                                <w:b/>
                                <w:color w:val="1F497D" w:themeColor="text2"/>
                                <w:sz w:val="96"/>
                                <w:szCs w:val="9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5F3FC7">
                              <w:rPr>
                                <w:b/>
                                <w:color w:val="1F497D" w:themeColor="text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Initiative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7.95pt;width:596.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" filled="f" stroked="f">
                <v:fill o:detectmouseclick="t"/>
                <v:textbox>
                  <w:txbxContent>
                    <w:p w:rsidR="005F3FC7" w:rsidRPr="005F3FC7" w:rsidRDefault="005F3FC7" w:rsidP="005F3FC7">
                      <w:pPr>
                        <w:jc w:val="center"/>
                        <w:rPr>
                          <w:b/>
                          <w:color w:val="1F497D" w:themeColor="text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5F3FC7">
                        <w:rPr>
                          <w:b/>
                          <w:color w:val="1F497D" w:themeColor="text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Banchory &amp; District</w:t>
                      </w:r>
                    </w:p>
                    <w:p w:rsidR="005F3FC7" w:rsidRPr="005F3FC7" w:rsidRDefault="005F3FC7" w:rsidP="005F3FC7">
                      <w:pPr>
                        <w:jc w:val="center"/>
                        <w:rPr>
                          <w:b/>
                          <w:color w:val="1F497D" w:themeColor="text2"/>
                          <w:sz w:val="96"/>
                          <w:szCs w:val="9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5F3FC7">
                        <w:rPr>
                          <w:b/>
                          <w:color w:val="1F497D" w:themeColor="text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Initiative Ltd</w:t>
                      </w:r>
                    </w:p>
                  </w:txbxContent>
                </v:textbox>
                <w10:wrap type="square"/>
              </v:shape>
            </w:pict>
          </mc:Fallback>
        </mc:AlternateContent>
      </w:r>
      <w:r w:rsidRPr="005F3FC7">
        <w:rPr>
          <w:sz w:val="40"/>
        </w:rPr>
        <w:t>Annual Report 2014/2015</w:t>
      </w:r>
    </w:p>
    <w:p w:rsidR="005F3FC7" w:rsidRDefault="005F3FC7" w:rsidP="005F3FC7">
      <w:pPr>
        <w:rPr>
          <w:sz w:val="40"/>
        </w:rPr>
      </w:pPr>
    </w:p>
    <w:p w:rsidR="005F3FC7" w:rsidRDefault="005F3FC7" w:rsidP="00CB7FA8">
      <w:pPr>
        <w:jc w:val="center"/>
        <w:rPr>
          <w:sz w:val="40"/>
        </w:rPr>
      </w:pPr>
      <w:r>
        <w:rPr>
          <w:noProof/>
          <w:sz w:val="40"/>
          <w:lang w:eastAsia="en-GB"/>
        </w:rPr>
        <w:drawing>
          <wp:inline distT="0" distB="0" distL="0" distR="0">
            <wp:extent cx="5219700" cy="3514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1311_10152828317870577_108617580_o.jpg"/>
                    <pic:cNvPicPr/>
                  </pic:nvPicPr>
                  <pic:blipFill rotWithShape="1">
                    <a:blip r:embed="rId5">
                      <a:extLst>
                        <a:ext uri="{28A0092B-C50C-407E-A947-70E740481C1C}">
                          <a14:useLocalDpi xmlns:a14="http://schemas.microsoft.com/office/drawing/2010/main" val="0"/>
                        </a:ext>
                      </a:extLst>
                    </a:blip>
                    <a:srcRect l="4327" t="6147" r="4492" b="6618"/>
                    <a:stretch/>
                  </pic:blipFill>
                  <pic:spPr bwMode="auto">
                    <a:xfrm>
                      <a:off x="0" y="0"/>
                      <a:ext cx="5226069" cy="3518574"/>
                    </a:xfrm>
                    <a:prstGeom prst="rect">
                      <a:avLst/>
                    </a:prstGeom>
                    <a:ln>
                      <a:noFill/>
                    </a:ln>
                    <a:extLst>
                      <a:ext uri="{53640926-AAD7-44D8-BBD7-CCE9431645EC}">
                        <a14:shadowObscured xmlns:a14="http://schemas.microsoft.com/office/drawing/2010/main"/>
                      </a:ext>
                    </a:extLst>
                  </pic:spPr>
                </pic:pic>
              </a:graphicData>
            </a:graphic>
          </wp:inline>
        </w:drawing>
      </w:r>
    </w:p>
    <w:p w:rsidR="005F3FC7" w:rsidRPr="005F3FC7" w:rsidRDefault="005F3FC7" w:rsidP="00CB7FA8">
      <w:pPr>
        <w:jc w:val="center"/>
        <w:rPr>
          <w:sz w:val="40"/>
        </w:rPr>
      </w:pPr>
      <w:r>
        <w:rPr>
          <w:noProof/>
          <w:sz w:val="40"/>
          <w:lang w:eastAsia="en-GB"/>
        </w:rPr>
        <w:drawing>
          <wp:inline distT="0" distB="0" distL="0" distR="0">
            <wp:extent cx="4962525" cy="189957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hor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9717" cy="1902324"/>
                    </a:xfrm>
                    <a:prstGeom prst="rect">
                      <a:avLst/>
                    </a:prstGeom>
                  </pic:spPr>
                </pic:pic>
              </a:graphicData>
            </a:graphic>
          </wp:inline>
        </w:drawing>
      </w:r>
    </w:p>
    <w:p w:rsidR="00837A52" w:rsidRPr="00837A52" w:rsidRDefault="00837A52">
      <w:pPr>
        <w:rPr>
          <w:b/>
          <w:sz w:val="28"/>
        </w:rPr>
      </w:pPr>
      <w:r w:rsidRPr="00837A52">
        <w:rPr>
          <w:b/>
          <w:sz w:val="28"/>
        </w:rPr>
        <w:lastRenderedPageBreak/>
        <w:t>Chairperson Report</w:t>
      </w:r>
    </w:p>
    <w:p w:rsidR="00837A52" w:rsidRDefault="00837A52" w:rsidP="00837A52">
      <w:pPr>
        <w:widowControl w:val="0"/>
        <w:spacing w:line="240" w:lineRule="atLeast"/>
        <w:jc w:val="both"/>
      </w:pPr>
      <w:r>
        <w:t>With notification of three year funding from Aberdeenshire Council, the Board has been able to plan for the next three years. The guaranteed income allowed the Board to increase the number of hours for the Town Co-ordinator post for 18 months. The Board are grateful that Jan Leatham has agreed to accept the contract until April 2015 and can continue to support businesses and community groups in Banchory.</w:t>
      </w:r>
    </w:p>
    <w:p w:rsidR="00837A52" w:rsidRDefault="00837A52" w:rsidP="00837A52">
      <w:pPr>
        <w:widowControl w:val="0"/>
        <w:spacing w:line="240" w:lineRule="atLeast"/>
        <w:jc w:val="both"/>
      </w:pPr>
      <w:r>
        <w:t>The Farmers Market project welcomed a new manager during the year. David Ritchie recently retired from a major supermarket and is looking forward to supporting the development of the market. Due to construction work in Scott Skinner Square, the market moved to Bellfield Car Park where it has grown over the months. The new location and active management has allowed the market to double the number of traders and triple the number of customers. The higher income generated will be reinvested into marketing.</w:t>
      </w:r>
    </w:p>
    <w:p w:rsidR="00837A52" w:rsidRDefault="00837A52" w:rsidP="00837A52">
      <w:pPr>
        <w:widowControl w:val="0"/>
        <w:spacing w:line="240" w:lineRule="atLeast"/>
        <w:jc w:val="both"/>
      </w:pPr>
      <w:r>
        <w:t>The main focus for the Town Co-ordinator has been support to the Business Association and managing events. The summer River Festival attracted a wider audience in 2014 and is expected to be a much larger event in 2015. The Christmas Light event saw a greater public presence and identified a need for more frequent public gatherings.  The BBA has identified a demand for a Pipe Band competition and propose to hold an event in May 2015. Public gatherings and events have been shown to be the best form of publicity for both BDI and Banchory and will continue to be a priority area for development in the future.</w:t>
      </w:r>
      <w:r w:rsidRPr="00837A52">
        <w:t xml:space="preserve"> </w:t>
      </w:r>
    </w:p>
    <w:p w:rsidR="00837A52" w:rsidRDefault="00837A52" w:rsidP="00837A52">
      <w:pPr>
        <w:widowControl w:val="0"/>
        <w:spacing w:line="240" w:lineRule="atLeast"/>
        <w:jc w:val="both"/>
      </w:pPr>
      <w:r>
        <w:t>As the BDI business plan is based on the Banchory Community Action Plan 2010-2015 the Board will support the community engagement exercise planned for 2015 to support a future Action Plan. It is a measure of our success that all outcomes for the five year period have been initiated.</w:t>
      </w:r>
    </w:p>
    <w:p w:rsidR="00837A52" w:rsidRDefault="00837A52" w:rsidP="00837A52">
      <w:pPr>
        <w:widowControl w:val="0"/>
        <w:spacing w:line="240" w:lineRule="atLeast"/>
        <w:jc w:val="both"/>
      </w:pPr>
      <w:r>
        <w:t>Lastly it is with sadness that two of our longest serving Board members have retired. Henry Allan and Jane Lamb have been with BDI since formation in 2003. Their participation and wisdom has been appreciated.</w:t>
      </w:r>
    </w:p>
    <w:p w:rsidR="00D21928" w:rsidRDefault="00D21928" w:rsidP="00D21928">
      <w:pPr>
        <w:rPr>
          <w:b/>
          <w:sz w:val="28"/>
          <w:szCs w:val="28"/>
        </w:rPr>
      </w:pPr>
    </w:p>
    <w:p w:rsidR="00D21928" w:rsidRDefault="00D21928" w:rsidP="00D21928">
      <w:pPr>
        <w:rPr>
          <w:b/>
          <w:sz w:val="28"/>
          <w:szCs w:val="28"/>
        </w:rPr>
      </w:pPr>
    </w:p>
    <w:p w:rsidR="00D21928" w:rsidRPr="00837A52" w:rsidRDefault="00D21928" w:rsidP="00D21928">
      <w:pPr>
        <w:rPr>
          <w:b/>
          <w:sz w:val="28"/>
          <w:szCs w:val="28"/>
        </w:rPr>
      </w:pPr>
      <w:r w:rsidRPr="00837A52">
        <w:rPr>
          <w:b/>
          <w:sz w:val="28"/>
          <w:szCs w:val="28"/>
        </w:rPr>
        <w:t>Directors</w:t>
      </w:r>
    </w:p>
    <w:p w:rsidR="00D21928" w:rsidRPr="00837A52" w:rsidRDefault="00D21928" w:rsidP="00D21928">
      <w:pPr>
        <w:rPr>
          <w:b/>
          <w:sz w:val="28"/>
          <w:szCs w:val="28"/>
        </w:rPr>
        <w:sectPr w:rsidR="00D21928" w:rsidRPr="00837A52" w:rsidSect="00D21928">
          <w:type w:val="continuous"/>
          <w:pgSz w:w="11906" w:h="16838"/>
          <w:pgMar w:top="1135" w:right="1440" w:bottom="1440" w:left="1440" w:header="708" w:footer="708" w:gutter="0"/>
          <w:cols w:space="708"/>
          <w:docGrid w:linePitch="360"/>
        </w:sectPr>
      </w:pPr>
    </w:p>
    <w:p w:rsidR="00D21928" w:rsidRDefault="00D21928" w:rsidP="00D21928">
      <w:pPr>
        <w:spacing w:line="240" w:lineRule="auto"/>
      </w:pPr>
      <w:r>
        <w:lastRenderedPageBreak/>
        <w:t>Chairperson:</w:t>
      </w:r>
      <w:r>
        <w:tab/>
        <w:t>Jean Henretty</w:t>
      </w:r>
    </w:p>
    <w:p w:rsidR="00D21928" w:rsidRDefault="00D21928" w:rsidP="00D21928">
      <w:pPr>
        <w:spacing w:line="240" w:lineRule="auto"/>
      </w:pPr>
      <w:r>
        <w:t>Treasurer:</w:t>
      </w:r>
      <w:r>
        <w:tab/>
        <w:t>Norma Makin</w:t>
      </w:r>
    </w:p>
    <w:p w:rsidR="00D21928" w:rsidRDefault="00D21928" w:rsidP="00D21928">
      <w:pPr>
        <w:spacing w:line="240" w:lineRule="auto"/>
      </w:pPr>
      <w:r>
        <w:t xml:space="preserve">Paul </w:t>
      </w:r>
      <w:proofErr w:type="spellStart"/>
      <w:r>
        <w:t>Panchaud</w:t>
      </w:r>
      <w:proofErr w:type="spellEnd"/>
    </w:p>
    <w:p w:rsidR="00D21928" w:rsidRDefault="00D21928" w:rsidP="00D21928">
      <w:pPr>
        <w:spacing w:line="240" w:lineRule="auto"/>
      </w:pPr>
      <w:r>
        <w:t>Brian Smith</w:t>
      </w:r>
    </w:p>
    <w:p w:rsidR="00D21928" w:rsidRDefault="00D21928" w:rsidP="00D21928">
      <w:pPr>
        <w:spacing w:line="240" w:lineRule="auto"/>
      </w:pPr>
      <w:r>
        <w:t>Margaret Paterson</w:t>
      </w:r>
    </w:p>
    <w:p w:rsidR="00D21928" w:rsidRDefault="00D21928" w:rsidP="00D21928">
      <w:pPr>
        <w:spacing w:line="240" w:lineRule="auto"/>
      </w:pPr>
      <w:r>
        <w:t>Jerry Cobb</w:t>
      </w:r>
    </w:p>
    <w:p w:rsidR="00D21928" w:rsidRDefault="00D21928" w:rsidP="00D21928">
      <w:pPr>
        <w:spacing w:line="240" w:lineRule="auto"/>
      </w:pPr>
      <w:r>
        <w:t>Contractors</w:t>
      </w:r>
      <w:proofErr w:type="gramStart"/>
      <w:r>
        <w:t>:-</w:t>
      </w:r>
      <w:proofErr w:type="gramEnd"/>
      <w:r>
        <w:t xml:space="preserve"> Jan Leatham (Town Co-ordinator).  David Ritchie (Market Manager)</w:t>
      </w:r>
    </w:p>
    <w:p w:rsidR="005F3FC7" w:rsidRDefault="00631463">
      <w:r>
        <w:br w:type="page"/>
      </w:r>
    </w:p>
    <w:p w:rsidR="00B264A8" w:rsidRPr="00837A52" w:rsidRDefault="00B92818">
      <w:pPr>
        <w:rPr>
          <w:b/>
          <w:sz w:val="28"/>
        </w:rPr>
      </w:pPr>
      <w:r w:rsidRPr="00837A52">
        <w:rPr>
          <w:b/>
          <w:sz w:val="28"/>
        </w:rPr>
        <w:lastRenderedPageBreak/>
        <w:t>Treasurer Report – April 2014 to March 2015</w:t>
      </w:r>
    </w:p>
    <w:p w:rsidR="00B92818" w:rsidRDefault="00B92818">
      <w:r>
        <w:t>This finance report relates to the annual accounts for the Banchory &amp; District Initiative Ltd for the financial year 1</w:t>
      </w:r>
      <w:r w:rsidRPr="00B92818">
        <w:rPr>
          <w:vertAlign w:val="superscript"/>
        </w:rPr>
        <w:t>st</w:t>
      </w:r>
      <w:r>
        <w:t xml:space="preserve"> April 2014 to 31</w:t>
      </w:r>
      <w:r w:rsidRPr="00B92818">
        <w:rPr>
          <w:vertAlign w:val="superscript"/>
        </w:rPr>
        <w:t>st</w:t>
      </w:r>
      <w:r>
        <w:t xml:space="preserve"> March 2015. The office of treasurer is held by Norma Makin. BDI is registered with Companies House as a Company Limited by Guarantee (No</w:t>
      </w:r>
      <w:proofErr w:type="gramStart"/>
      <w:r>
        <w:t>:268718</w:t>
      </w:r>
      <w:proofErr w:type="gramEnd"/>
      <w:r>
        <w:t>). As a registered charity BDI is registered with the Office of the Scottish Charity Regulator (OSCR) (No</w:t>
      </w:r>
      <w:proofErr w:type="gramStart"/>
      <w:r>
        <w:t>:SC041630</w:t>
      </w:r>
      <w:proofErr w:type="gramEnd"/>
      <w:r>
        <w:t>).</w:t>
      </w:r>
    </w:p>
    <w:p w:rsidR="00631463" w:rsidRDefault="00B92818">
      <w:r>
        <w:t>The summary income and expenditure is given in the table below. The full acco</w:t>
      </w:r>
      <w:r w:rsidR="005F3FC7">
        <w:t xml:space="preserve">unts are available by request or on the website </w:t>
      </w:r>
      <w:hyperlink r:id="rId7" w:history="1">
        <w:r w:rsidR="005F3FC7" w:rsidRPr="00932E8E">
          <w:rPr>
            <w:rStyle w:val="Hyperlink"/>
          </w:rPr>
          <w:t>www.visitbanchory.com</w:t>
        </w:r>
      </w:hyperlink>
      <w:r w:rsidR="005F3FC7">
        <w:t xml:space="preserve"> </w:t>
      </w:r>
    </w:p>
    <w:tbl>
      <w:tblPr>
        <w:tblStyle w:val="TableGrid"/>
        <w:tblW w:w="9326" w:type="dxa"/>
        <w:tblLook w:val="04A0" w:firstRow="1" w:lastRow="0" w:firstColumn="1" w:lastColumn="0" w:noHBand="0" w:noVBand="1"/>
      </w:tblPr>
      <w:tblGrid>
        <w:gridCol w:w="6203"/>
        <w:gridCol w:w="1564"/>
        <w:gridCol w:w="1559"/>
      </w:tblGrid>
      <w:tr w:rsidR="00631463" w:rsidRPr="008D6010" w:rsidTr="00631463">
        <w:tc>
          <w:tcPr>
            <w:tcW w:w="6203" w:type="dxa"/>
          </w:tcPr>
          <w:p w:rsidR="00631463" w:rsidRPr="008D6010" w:rsidRDefault="00631463">
            <w:pPr>
              <w:rPr>
                <w:b/>
              </w:rPr>
            </w:pPr>
            <w:r w:rsidRPr="008D6010">
              <w:rPr>
                <w:b/>
              </w:rPr>
              <w:t>Income</w:t>
            </w:r>
          </w:p>
        </w:tc>
        <w:tc>
          <w:tcPr>
            <w:tcW w:w="1564" w:type="dxa"/>
          </w:tcPr>
          <w:p w:rsidR="00631463" w:rsidRPr="008D6010" w:rsidRDefault="00631463" w:rsidP="00B92818">
            <w:pPr>
              <w:jc w:val="center"/>
              <w:rPr>
                <w:b/>
              </w:rPr>
            </w:pPr>
            <w:r w:rsidRPr="008D6010">
              <w:rPr>
                <w:b/>
              </w:rPr>
              <w:t>2014/15</w:t>
            </w:r>
          </w:p>
        </w:tc>
        <w:tc>
          <w:tcPr>
            <w:tcW w:w="1559" w:type="dxa"/>
          </w:tcPr>
          <w:p w:rsidR="00631463" w:rsidRPr="008D6010" w:rsidRDefault="00631463" w:rsidP="00B92818">
            <w:pPr>
              <w:jc w:val="center"/>
              <w:rPr>
                <w:b/>
              </w:rPr>
            </w:pPr>
            <w:r w:rsidRPr="008D6010">
              <w:rPr>
                <w:b/>
              </w:rPr>
              <w:t>2013/14</w:t>
            </w:r>
          </w:p>
        </w:tc>
      </w:tr>
      <w:tr w:rsidR="00631463" w:rsidTr="00631463">
        <w:tc>
          <w:tcPr>
            <w:tcW w:w="6203" w:type="dxa"/>
          </w:tcPr>
          <w:p w:rsidR="00631463" w:rsidRDefault="00631463">
            <w:r>
              <w:t>Grants</w:t>
            </w:r>
          </w:p>
        </w:tc>
        <w:tc>
          <w:tcPr>
            <w:tcW w:w="1564" w:type="dxa"/>
          </w:tcPr>
          <w:p w:rsidR="00631463" w:rsidRDefault="00631463" w:rsidP="00B92818">
            <w:pPr>
              <w:jc w:val="right"/>
            </w:pPr>
            <w:r>
              <w:t>16,336</w:t>
            </w:r>
          </w:p>
        </w:tc>
        <w:tc>
          <w:tcPr>
            <w:tcW w:w="1559" w:type="dxa"/>
          </w:tcPr>
          <w:p w:rsidR="00631463" w:rsidRDefault="00631463" w:rsidP="00B92818">
            <w:pPr>
              <w:jc w:val="right"/>
            </w:pPr>
            <w:r>
              <w:t>9781</w:t>
            </w:r>
          </w:p>
        </w:tc>
      </w:tr>
      <w:tr w:rsidR="00631463" w:rsidTr="00631463">
        <w:tc>
          <w:tcPr>
            <w:tcW w:w="6203" w:type="dxa"/>
          </w:tcPr>
          <w:p w:rsidR="00631463" w:rsidRDefault="00631463">
            <w:r>
              <w:t>Donations</w:t>
            </w:r>
          </w:p>
        </w:tc>
        <w:tc>
          <w:tcPr>
            <w:tcW w:w="1564" w:type="dxa"/>
          </w:tcPr>
          <w:p w:rsidR="00631463" w:rsidRDefault="00631463" w:rsidP="00B92818">
            <w:pPr>
              <w:jc w:val="right"/>
            </w:pPr>
            <w:r>
              <w:t>3,416</w:t>
            </w:r>
          </w:p>
        </w:tc>
        <w:tc>
          <w:tcPr>
            <w:tcW w:w="1559" w:type="dxa"/>
          </w:tcPr>
          <w:p w:rsidR="00631463" w:rsidRDefault="00631463" w:rsidP="00B92818">
            <w:pPr>
              <w:jc w:val="right"/>
            </w:pPr>
            <w:r>
              <w:t>11,214</w:t>
            </w:r>
          </w:p>
        </w:tc>
      </w:tr>
      <w:tr w:rsidR="00631463" w:rsidTr="00631463">
        <w:tc>
          <w:tcPr>
            <w:tcW w:w="6203" w:type="dxa"/>
          </w:tcPr>
          <w:p w:rsidR="00631463" w:rsidRDefault="00631463">
            <w:r>
              <w:t>Advertising and Sponsors</w:t>
            </w:r>
          </w:p>
        </w:tc>
        <w:tc>
          <w:tcPr>
            <w:tcW w:w="1564" w:type="dxa"/>
          </w:tcPr>
          <w:p w:rsidR="00631463" w:rsidRDefault="00631463" w:rsidP="00B92818">
            <w:pPr>
              <w:jc w:val="right"/>
            </w:pPr>
            <w:r>
              <w:t>1,043</w:t>
            </w:r>
          </w:p>
        </w:tc>
        <w:tc>
          <w:tcPr>
            <w:tcW w:w="1559" w:type="dxa"/>
          </w:tcPr>
          <w:p w:rsidR="00631463" w:rsidRDefault="00631463" w:rsidP="00B92818">
            <w:pPr>
              <w:jc w:val="right"/>
            </w:pPr>
            <w:r>
              <w:t>306</w:t>
            </w:r>
          </w:p>
        </w:tc>
      </w:tr>
      <w:tr w:rsidR="00631463" w:rsidTr="00631463">
        <w:tc>
          <w:tcPr>
            <w:tcW w:w="6203" w:type="dxa"/>
          </w:tcPr>
          <w:p w:rsidR="00631463" w:rsidRDefault="00631463">
            <w:r>
              <w:t>Rent</w:t>
            </w:r>
          </w:p>
        </w:tc>
        <w:tc>
          <w:tcPr>
            <w:tcW w:w="1564" w:type="dxa"/>
          </w:tcPr>
          <w:p w:rsidR="00631463" w:rsidRDefault="00631463" w:rsidP="00B92818">
            <w:pPr>
              <w:jc w:val="right"/>
            </w:pPr>
            <w:r>
              <w:t>1,920</w:t>
            </w:r>
          </w:p>
        </w:tc>
        <w:tc>
          <w:tcPr>
            <w:tcW w:w="1559" w:type="dxa"/>
          </w:tcPr>
          <w:p w:rsidR="00631463" w:rsidRDefault="00631463" w:rsidP="00B92818">
            <w:pPr>
              <w:jc w:val="right"/>
            </w:pPr>
            <w:r>
              <w:t>1,920</w:t>
            </w:r>
          </w:p>
        </w:tc>
      </w:tr>
      <w:tr w:rsidR="00631463" w:rsidTr="00631463">
        <w:tc>
          <w:tcPr>
            <w:tcW w:w="6203" w:type="dxa"/>
          </w:tcPr>
          <w:p w:rsidR="00631463" w:rsidRDefault="00631463">
            <w:r>
              <w:t>Charitable Activities</w:t>
            </w:r>
          </w:p>
        </w:tc>
        <w:tc>
          <w:tcPr>
            <w:tcW w:w="1564" w:type="dxa"/>
          </w:tcPr>
          <w:p w:rsidR="00631463" w:rsidRDefault="00631463" w:rsidP="00B92818">
            <w:pPr>
              <w:jc w:val="right"/>
            </w:pPr>
            <w:r>
              <w:t>9,721</w:t>
            </w:r>
          </w:p>
        </w:tc>
        <w:tc>
          <w:tcPr>
            <w:tcW w:w="1559" w:type="dxa"/>
          </w:tcPr>
          <w:p w:rsidR="00631463" w:rsidRDefault="00631463" w:rsidP="00B92818">
            <w:pPr>
              <w:jc w:val="right"/>
            </w:pPr>
            <w:r>
              <w:t>11,783</w:t>
            </w:r>
          </w:p>
        </w:tc>
      </w:tr>
      <w:tr w:rsidR="00631463" w:rsidTr="00B92818">
        <w:tc>
          <w:tcPr>
            <w:tcW w:w="6203" w:type="dxa"/>
            <w:tcBorders>
              <w:bottom w:val="single" w:sz="4" w:space="0" w:color="auto"/>
            </w:tcBorders>
          </w:tcPr>
          <w:p w:rsidR="00631463" w:rsidRDefault="00631463">
            <w:r>
              <w:t>Interest</w:t>
            </w:r>
          </w:p>
        </w:tc>
        <w:tc>
          <w:tcPr>
            <w:tcW w:w="1564" w:type="dxa"/>
            <w:tcBorders>
              <w:bottom w:val="single" w:sz="4" w:space="0" w:color="auto"/>
            </w:tcBorders>
          </w:tcPr>
          <w:p w:rsidR="00631463" w:rsidRDefault="00631463" w:rsidP="00B92818">
            <w:pPr>
              <w:jc w:val="right"/>
            </w:pPr>
            <w:r>
              <w:t>43</w:t>
            </w:r>
          </w:p>
        </w:tc>
        <w:tc>
          <w:tcPr>
            <w:tcW w:w="1559" w:type="dxa"/>
            <w:tcBorders>
              <w:bottom w:val="single" w:sz="4" w:space="0" w:color="auto"/>
            </w:tcBorders>
          </w:tcPr>
          <w:p w:rsidR="00631463" w:rsidRDefault="00631463" w:rsidP="00B92818">
            <w:pPr>
              <w:jc w:val="right"/>
            </w:pPr>
            <w:r>
              <w:t>47</w:t>
            </w:r>
          </w:p>
        </w:tc>
      </w:tr>
      <w:tr w:rsidR="00631463" w:rsidRPr="00B92818" w:rsidTr="00B92818">
        <w:tc>
          <w:tcPr>
            <w:tcW w:w="6203" w:type="dxa"/>
            <w:tcBorders>
              <w:bottom w:val="single" w:sz="4" w:space="0" w:color="auto"/>
            </w:tcBorders>
          </w:tcPr>
          <w:p w:rsidR="00631463" w:rsidRPr="00B92818" w:rsidRDefault="00631463">
            <w:pPr>
              <w:rPr>
                <w:b/>
              </w:rPr>
            </w:pPr>
            <w:r w:rsidRPr="00B92818">
              <w:rPr>
                <w:b/>
              </w:rPr>
              <w:t>Total Income</w:t>
            </w:r>
          </w:p>
        </w:tc>
        <w:tc>
          <w:tcPr>
            <w:tcW w:w="1564" w:type="dxa"/>
            <w:tcBorders>
              <w:bottom w:val="single" w:sz="4" w:space="0" w:color="auto"/>
            </w:tcBorders>
          </w:tcPr>
          <w:p w:rsidR="00631463" w:rsidRPr="00B92818" w:rsidRDefault="00B92818" w:rsidP="00B92818">
            <w:pPr>
              <w:jc w:val="right"/>
              <w:rPr>
                <w:b/>
              </w:rPr>
            </w:pPr>
            <w:r w:rsidRPr="00B92818">
              <w:rPr>
                <w:b/>
              </w:rPr>
              <w:t>£</w:t>
            </w:r>
            <w:r w:rsidR="00631463" w:rsidRPr="00B92818">
              <w:rPr>
                <w:b/>
              </w:rPr>
              <w:t>32,479</w:t>
            </w:r>
          </w:p>
        </w:tc>
        <w:tc>
          <w:tcPr>
            <w:tcW w:w="1559" w:type="dxa"/>
            <w:tcBorders>
              <w:bottom w:val="single" w:sz="4" w:space="0" w:color="auto"/>
            </w:tcBorders>
          </w:tcPr>
          <w:p w:rsidR="00631463" w:rsidRPr="00B92818" w:rsidRDefault="00B92818" w:rsidP="00B92818">
            <w:pPr>
              <w:jc w:val="right"/>
              <w:rPr>
                <w:b/>
              </w:rPr>
            </w:pPr>
            <w:r w:rsidRPr="00B92818">
              <w:rPr>
                <w:b/>
              </w:rPr>
              <w:t>£</w:t>
            </w:r>
            <w:r w:rsidR="00631463" w:rsidRPr="00B92818">
              <w:rPr>
                <w:b/>
              </w:rPr>
              <w:t>35,051</w:t>
            </w:r>
          </w:p>
        </w:tc>
      </w:tr>
      <w:tr w:rsidR="00631463" w:rsidTr="00B92818">
        <w:tc>
          <w:tcPr>
            <w:tcW w:w="6203" w:type="dxa"/>
            <w:tcBorders>
              <w:top w:val="single" w:sz="4" w:space="0" w:color="auto"/>
              <w:left w:val="nil"/>
              <w:bottom w:val="single" w:sz="4" w:space="0" w:color="auto"/>
              <w:right w:val="nil"/>
            </w:tcBorders>
          </w:tcPr>
          <w:p w:rsidR="00631463" w:rsidRDefault="00631463"/>
        </w:tc>
        <w:tc>
          <w:tcPr>
            <w:tcW w:w="1564" w:type="dxa"/>
            <w:tcBorders>
              <w:top w:val="single" w:sz="4" w:space="0" w:color="auto"/>
              <w:left w:val="nil"/>
              <w:bottom w:val="single" w:sz="4" w:space="0" w:color="auto"/>
              <w:right w:val="nil"/>
            </w:tcBorders>
          </w:tcPr>
          <w:p w:rsidR="00631463" w:rsidRDefault="00631463" w:rsidP="00B92818">
            <w:pPr>
              <w:jc w:val="right"/>
            </w:pPr>
          </w:p>
        </w:tc>
        <w:tc>
          <w:tcPr>
            <w:tcW w:w="1559" w:type="dxa"/>
            <w:tcBorders>
              <w:top w:val="single" w:sz="4" w:space="0" w:color="auto"/>
              <w:left w:val="nil"/>
              <w:bottom w:val="single" w:sz="4" w:space="0" w:color="auto"/>
              <w:right w:val="nil"/>
            </w:tcBorders>
          </w:tcPr>
          <w:p w:rsidR="00631463" w:rsidRDefault="00631463" w:rsidP="00B92818">
            <w:pPr>
              <w:jc w:val="right"/>
            </w:pPr>
          </w:p>
        </w:tc>
      </w:tr>
      <w:tr w:rsidR="00631463" w:rsidTr="00B92818">
        <w:tc>
          <w:tcPr>
            <w:tcW w:w="6203" w:type="dxa"/>
            <w:tcBorders>
              <w:top w:val="single" w:sz="4" w:space="0" w:color="auto"/>
            </w:tcBorders>
          </w:tcPr>
          <w:p w:rsidR="00631463" w:rsidRPr="005F3FC7" w:rsidRDefault="00631463">
            <w:pPr>
              <w:rPr>
                <w:b/>
              </w:rPr>
            </w:pPr>
            <w:r w:rsidRPr="005F3FC7">
              <w:rPr>
                <w:b/>
              </w:rPr>
              <w:t>Expenditure</w:t>
            </w:r>
          </w:p>
        </w:tc>
        <w:tc>
          <w:tcPr>
            <w:tcW w:w="1564" w:type="dxa"/>
            <w:tcBorders>
              <w:top w:val="single" w:sz="4" w:space="0" w:color="auto"/>
            </w:tcBorders>
          </w:tcPr>
          <w:p w:rsidR="00631463" w:rsidRDefault="00631463" w:rsidP="00B92818">
            <w:pPr>
              <w:jc w:val="right"/>
            </w:pPr>
          </w:p>
        </w:tc>
        <w:tc>
          <w:tcPr>
            <w:tcW w:w="1559" w:type="dxa"/>
            <w:tcBorders>
              <w:top w:val="single" w:sz="4" w:space="0" w:color="auto"/>
            </w:tcBorders>
          </w:tcPr>
          <w:p w:rsidR="00631463" w:rsidRDefault="00631463" w:rsidP="00B92818">
            <w:pPr>
              <w:jc w:val="right"/>
            </w:pPr>
          </w:p>
        </w:tc>
      </w:tr>
      <w:tr w:rsidR="00631463" w:rsidTr="00631463">
        <w:tc>
          <w:tcPr>
            <w:tcW w:w="6203" w:type="dxa"/>
          </w:tcPr>
          <w:p w:rsidR="00631463" w:rsidRDefault="008D6010">
            <w:r>
              <w:t>Activities</w:t>
            </w:r>
          </w:p>
        </w:tc>
        <w:tc>
          <w:tcPr>
            <w:tcW w:w="1564" w:type="dxa"/>
          </w:tcPr>
          <w:p w:rsidR="00631463" w:rsidRDefault="008D6010" w:rsidP="00B92818">
            <w:pPr>
              <w:jc w:val="right"/>
            </w:pPr>
            <w:r>
              <w:t>38,980</w:t>
            </w:r>
          </w:p>
        </w:tc>
        <w:tc>
          <w:tcPr>
            <w:tcW w:w="1559" w:type="dxa"/>
          </w:tcPr>
          <w:p w:rsidR="00631463" w:rsidRDefault="008D6010" w:rsidP="00B92818">
            <w:pPr>
              <w:jc w:val="right"/>
            </w:pPr>
            <w:r>
              <w:t>33,755</w:t>
            </w:r>
          </w:p>
        </w:tc>
      </w:tr>
      <w:tr w:rsidR="008D6010" w:rsidTr="00631463">
        <w:tc>
          <w:tcPr>
            <w:tcW w:w="6203" w:type="dxa"/>
          </w:tcPr>
          <w:p w:rsidR="008D6010" w:rsidRDefault="008D6010">
            <w:r>
              <w:t>Governance</w:t>
            </w:r>
          </w:p>
        </w:tc>
        <w:tc>
          <w:tcPr>
            <w:tcW w:w="1564" w:type="dxa"/>
          </w:tcPr>
          <w:p w:rsidR="008D6010" w:rsidRDefault="008D6010" w:rsidP="00B92818">
            <w:pPr>
              <w:jc w:val="right"/>
            </w:pPr>
            <w:r>
              <w:t>1,305</w:t>
            </w:r>
          </w:p>
        </w:tc>
        <w:tc>
          <w:tcPr>
            <w:tcW w:w="1559" w:type="dxa"/>
          </w:tcPr>
          <w:p w:rsidR="008D6010" w:rsidRDefault="008D6010" w:rsidP="00B92818">
            <w:pPr>
              <w:jc w:val="right"/>
            </w:pPr>
            <w:r>
              <w:t>900</w:t>
            </w:r>
          </w:p>
        </w:tc>
      </w:tr>
      <w:tr w:rsidR="008D6010" w:rsidRPr="005F3FC7" w:rsidTr="00631463">
        <w:tc>
          <w:tcPr>
            <w:tcW w:w="6203" w:type="dxa"/>
          </w:tcPr>
          <w:p w:rsidR="008D6010" w:rsidRPr="005F3FC7" w:rsidRDefault="008D6010">
            <w:pPr>
              <w:rPr>
                <w:b/>
              </w:rPr>
            </w:pPr>
            <w:r w:rsidRPr="005F3FC7">
              <w:rPr>
                <w:b/>
              </w:rPr>
              <w:t>Total Expenses</w:t>
            </w:r>
          </w:p>
        </w:tc>
        <w:tc>
          <w:tcPr>
            <w:tcW w:w="1564" w:type="dxa"/>
          </w:tcPr>
          <w:p w:rsidR="008D6010" w:rsidRPr="005F3FC7" w:rsidRDefault="005F3FC7" w:rsidP="00B92818">
            <w:pPr>
              <w:jc w:val="right"/>
              <w:rPr>
                <w:b/>
              </w:rPr>
            </w:pPr>
            <w:r>
              <w:rPr>
                <w:b/>
              </w:rPr>
              <w:t>£</w:t>
            </w:r>
            <w:r w:rsidR="008D6010" w:rsidRPr="005F3FC7">
              <w:rPr>
                <w:b/>
              </w:rPr>
              <w:t>40,285</w:t>
            </w:r>
          </w:p>
        </w:tc>
        <w:tc>
          <w:tcPr>
            <w:tcW w:w="1559" w:type="dxa"/>
          </w:tcPr>
          <w:p w:rsidR="008D6010" w:rsidRPr="005F3FC7" w:rsidRDefault="005F3FC7" w:rsidP="00B92818">
            <w:pPr>
              <w:jc w:val="right"/>
              <w:rPr>
                <w:b/>
              </w:rPr>
            </w:pPr>
            <w:r>
              <w:rPr>
                <w:b/>
              </w:rPr>
              <w:t>£</w:t>
            </w:r>
            <w:r w:rsidR="008D6010" w:rsidRPr="005F3FC7">
              <w:rPr>
                <w:b/>
              </w:rPr>
              <w:t>34,655</w:t>
            </w:r>
          </w:p>
        </w:tc>
      </w:tr>
      <w:tr w:rsidR="008D6010" w:rsidTr="00B92818">
        <w:tc>
          <w:tcPr>
            <w:tcW w:w="6203" w:type="dxa"/>
            <w:tcBorders>
              <w:bottom w:val="single" w:sz="4" w:space="0" w:color="auto"/>
            </w:tcBorders>
          </w:tcPr>
          <w:p w:rsidR="008D6010" w:rsidRDefault="008D6010"/>
        </w:tc>
        <w:tc>
          <w:tcPr>
            <w:tcW w:w="1564" w:type="dxa"/>
            <w:tcBorders>
              <w:bottom w:val="single" w:sz="4" w:space="0" w:color="auto"/>
            </w:tcBorders>
          </w:tcPr>
          <w:p w:rsidR="008D6010" w:rsidRDefault="008D6010" w:rsidP="00B92818">
            <w:pPr>
              <w:jc w:val="right"/>
            </w:pPr>
          </w:p>
        </w:tc>
        <w:tc>
          <w:tcPr>
            <w:tcW w:w="1559" w:type="dxa"/>
            <w:tcBorders>
              <w:bottom w:val="single" w:sz="4" w:space="0" w:color="auto"/>
            </w:tcBorders>
          </w:tcPr>
          <w:p w:rsidR="008D6010" w:rsidRDefault="008D6010" w:rsidP="00B92818">
            <w:pPr>
              <w:jc w:val="right"/>
            </w:pPr>
          </w:p>
        </w:tc>
      </w:tr>
      <w:tr w:rsidR="008D6010" w:rsidRPr="00B92818" w:rsidTr="00B92818">
        <w:tc>
          <w:tcPr>
            <w:tcW w:w="6203" w:type="dxa"/>
            <w:tcBorders>
              <w:bottom w:val="single" w:sz="4" w:space="0" w:color="auto"/>
            </w:tcBorders>
          </w:tcPr>
          <w:p w:rsidR="008D6010" w:rsidRPr="00B92818" w:rsidRDefault="008D6010">
            <w:pPr>
              <w:rPr>
                <w:b/>
              </w:rPr>
            </w:pPr>
            <w:r w:rsidRPr="00B92818">
              <w:rPr>
                <w:b/>
              </w:rPr>
              <w:t>Surplus(deficit) for the year</w:t>
            </w:r>
          </w:p>
        </w:tc>
        <w:tc>
          <w:tcPr>
            <w:tcW w:w="1564" w:type="dxa"/>
            <w:tcBorders>
              <w:bottom w:val="single" w:sz="4" w:space="0" w:color="auto"/>
            </w:tcBorders>
          </w:tcPr>
          <w:p w:rsidR="008D6010" w:rsidRPr="00B92818" w:rsidRDefault="008D6010" w:rsidP="00B92818">
            <w:pPr>
              <w:jc w:val="right"/>
              <w:rPr>
                <w:b/>
              </w:rPr>
            </w:pPr>
            <w:r w:rsidRPr="00B92818">
              <w:rPr>
                <w:b/>
              </w:rPr>
              <w:t>(</w:t>
            </w:r>
            <w:r w:rsidR="00B92818" w:rsidRPr="00B92818">
              <w:rPr>
                <w:b/>
              </w:rPr>
              <w:t>£</w:t>
            </w:r>
            <w:r w:rsidRPr="00B92818">
              <w:rPr>
                <w:b/>
              </w:rPr>
              <w:t>7,806)</w:t>
            </w:r>
          </w:p>
        </w:tc>
        <w:tc>
          <w:tcPr>
            <w:tcW w:w="1559" w:type="dxa"/>
            <w:tcBorders>
              <w:bottom w:val="single" w:sz="4" w:space="0" w:color="auto"/>
            </w:tcBorders>
          </w:tcPr>
          <w:p w:rsidR="008D6010" w:rsidRPr="00B92818" w:rsidRDefault="00B92818" w:rsidP="00B92818">
            <w:pPr>
              <w:jc w:val="right"/>
              <w:rPr>
                <w:b/>
              </w:rPr>
            </w:pPr>
            <w:r w:rsidRPr="00B92818">
              <w:rPr>
                <w:b/>
              </w:rPr>
              <w:t>£</w:t>
            </w:r>
            <w:r w:rsidR="008D6010" w:rsidRPr="00B92818">
              <w:rPr>
                <w:b/>
              </w:rPr>
              <w:t>396</w:t>
            </w:r>
          </w:p>
        </w:tc>
      </w:tr>
      <w:tr w:rsidR="008D6010" w:rsidTr="00B92818">
        <w:trPr>
          <w:trHeight w:val="475"/>
        </w:trPr>
        <w:tc>
          <w:tcPr>
            <w:tcW w:w="6203" w:type="dxa"/>
            <w:tcBorders>
              <w:top w:val="single" w:sz="4" w:space="0" w:color="auto"/>
              <w:left w:val="nil"/>
              <w:bottom w:val="nil"/>
              <w:right w:val="nil"/>
            </w:tcBorders>
          </w:tcPr>
          <w:p w:rsidR="008D6010" w:rsidRDefault="008D6010"/>
        </w:tc>
        <w:tc>
          <w:tcPr>
            <w:tcW w:w="1564" w:type="dxa"/>
            <w:tcBorders>
              <w:top w:val="single" w:sz="4" w:space="0" w:color="auto"/>
              <w:left w:val="nil"/>
              <w:bottom w:val="nil"/>
              <w:right w:val="nil"/>
            </w:tcBorders>
          </w:tcPr>
          <w:p w:rsidR="008D6010" w:rsidRDefault="008D6010"/>
        </w:tc>
        <w:tc>
          <w:tcPr>
            <w:tcW w:w="1559" w:type="dxa"/>
            <w:tcBorders>
              <w:top w:val="single" w:sz="4" w:space="0" w:color="auto"/>
              <w:left w:val="nil"/>
              <w:bottom w:val="nil"/>
              <w:right w:val="nil"/>
            </w:tcBorders>
          </w:tcPr>
          <w:p w:rsidR="008D6010" w:rsidRDefault="008D6010"/>
        </w:tc>
      </w:tr>
      <w:tr w:rsidR="008D6010" w:rsidTr="00B92818">
        <w:tc>
          <w:tcPr>
            <w:tcW w:w="9326" w:type="dxa"/>
            <w:gridSpan w:val="3"/>
            <w:tcBorders>
              <w:top w:val="nil"/>
              <w:left w:val="nil"/>
              <w:bottom w:val="nil"/>
              <w:right w:val="nil"/>
            </w:tcBorders>
          </w:tcPr>
          <w:p w:rsidR="008D6010" w:rsidRDefault="008D6010">
            <w:r>
              <w:t>The total funds held by Banchory and District Initiative Ltd as at 31</w:t>
            </w:r>
            <w:r w:rsidRPr="008D6010">
              <w:rPr>
                <w:vertAlign w:val="superscript"/>
              </w:rPr>
              <w:t>st</w:t>
            </w:r>
            <w:r>
              <w:t xml:space="preserve"> March 2015 were £41,227; comprising of £10,079 unrestricted funds and £31,148 restricted funds. </w:t>
            </w:r>
          </w:p>
          <w:p w:rsidR="008D6010" w:rsidRDefault="008D6010">
            <w:r>
              <w:t>The annual accounts have been compiled, independently examined and confirmed as complying with the Charity Accounts (Scotland) Regulations 2006, by Graham Bonds.</w:t>
            </w:r>
          </w:p>
        </w:tc>
      </w:tr>
    </w:tbl>
    <w:p w:rsidR="00631463" w:rsidRDefault="00631463"/>
    <w:p w:rsidR="00837A52" w:rsidRDefault="00837A52">
      <w:bookmarkStart w:id="0" w:name="_GoBack"/>
      <w:bookmarkEnd w:id="0"/>
    </w:p>
    <w:sectPr w:rsidR="00837A52" w:rsidSect="00837A52">
      <w:type w:val="continuous"/>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63"/>
    <w:rsid w:val="005F3FC7"/>
    <w:rsid w:val="00631463"/>
    <w:rsid w:val="00837A52"/>
    <w:rsid w:val="00896C70"/>
    <w:rsid w:val="008D6010"/>
    <w:rsid w:val="00B264A8"/>
    <w:rsid w:val="00B92818"/>
    <w:rsid w:val="00CB7FA8"/>
    <w:rsid w:val="00D21928"/>
    <w:rsid w:val="00FC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FC7"/>
    <w:rPr>
      <w:color w:val="0000FF" w:themeColor="hyperlink"/>
      <w:u w:val="single"/>
    </w:rPr>
  </w:style>
  <w:style w:type="paragraph" w:styleId="BalloonText">
    <w:name w:val="Balloon Text"/>
    <w:basedOn w:val="Normal"/>
    <w:link w:val="BalloonTextChar"/>
    <w:uiPriority w:val="99"/>
    <w:semiHidden/>
    <w:unhideWhenUsed/>
    <w:rsid w:val="005F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FC7"/>
    <w:rPr>
      <w:color w:val="0000FF" w:themeColor="hyperlink"/>
      <w:u w:val="single"/>
    </w:rPr>
  </w:style>
  <w:style w:type="paragraph" w:styleId="BalloonText">
    <w:name w:val="Balloon Text"/>
    <w:basedOn w:val="Normal"/>
    <w:link w:val="BalloonTextChar"/>
    <w:uiPriority w:val="99"/>
    <w:semiHidden/>
    <w:unhideWhenUsed/>
    <w:rsid w:val="005F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8876">
      <w:bodyDiv w:val="1"/>
      <w:marLeft w:val="0"/>
      <w:marRight w:val="0"/>
      <w:marTop w:val="0"/>
      <w:marBottom w:val="0"/>
      <w:divBdr>
        <w:top w:val="none" w:sz="0" w:space="0" w:color="auto"/>
        <w:left w:val="none" w:sz="0" w:space="0" w:color="auto"/>
        <w:bottom w:val="none" w:sz="0" w:space="0" w:color="auto"/>
        <w:right w:val="none" w:sz="0" w:space="0" w:color="auto"/>
      </w:divBdr>
    </w:div>
    <w:div w:id="16009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bancho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2015-09-20T17:51:00Z</dcterms:created>
  <dcterms:modified xsi:type="dcterms:W3CDTF">2015-09-29T17:12:00Z</dcterms:modified>
</cp:coreProperties>
</file>